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8A6E2" w14:textId="5FD19CCB" w:rsidR="00AF2A24" w:rsidRPr="00587CE3" w:rsidRDefault="00AF2A24" w:rsidP="00AF2A24">
      <w:pPr>
        <w:pStyle w:val="Head"/>
      </w:pPr>
      <w:r>
        <w:t xml:space="preserve">MOBIREX MR 130i EVO2 convainc pour le recyclage des matériaux de construction </w:t>
      </w:r>
    </w:p>
    <w:p w14:paraId="09F731C7" w14:textId="77777777" w:rsidR="00AF2A24" w:rsidRPr="00587CE3" w:rsidRDefault="00AF2A24" w:rsidP="00AF2A24">
      <w:pPr>
        <w:pStyle w:val="Subhead"/>
      </w:pPr>
      <w:r>
        <w:t>Le broyeur à percussion mobile associé à un convoyeur de terrils offre une capacité de traitement plus importante, une meilleure qualité de produit et une faible consommation</w:t>
      </w:r>
    </w:p>
    <w:p w14:paraId="6B3D5491" w14:textId="092A3303" w:rsidR="00AF2A24" w:rsidRPr="00FC4300" w:rsidRDefault="00AF2A24" w:rsidP="00AF2A24">
      <w:pPr>
        <w:pStyle w:val="Teaser"/>
      </w:pPr>
      <w:r>
        <w:t xml:space="preserve">Le broyeur à percussion Kleemann MOBIREX MR 130i EVO2 est actuellement en service avec un convoyeur de terrils en aval MOBIBELT MBT 24 à Staufenberg (Basse-Saxe) pour le traitement de matériaux de construction. Après trois mois, le bilan de l'entreprise de recyclage est très positif. </w:t>
      </w:r>
    </w:p>
    <w:p w14:paraId="2AE21E23" w14:textId="77777777" w:rsidR="00AF2A24" w:rsidRPr="00793E43" w:rsidRDefault="00AF2A24" w:rsidP="00AF2A24">
      <w:pPr>
        <w:pStyle w:val="Absatzberschrift"/>
      </w:pPr>
      <w:r>
        <w:t>Nouvelle équipe de machines pour le recyclage</w:t>
      </w:r>
    </w:p>
    <w:p w14:paraId="3FAAE813" w14:textId="77777777" w:rsidR="00AF2A24" w:rsidRPr="00545B82" w:rsidRDefault="00AF2A24" w:rsidP="00AF2A24">
      <w:pPr>
        <w:pStyle w:val="Standardabsatz"/>
      </w:pPr>
      <w:r>
        <w:t>Le duo Kleemann composé d'un broyeur à percussion et d'une installation de criblage est utilisé pour le traitement de déchets minéraux de chantier afin d'obtenir du sable, des gravillons, du gravier et du matériau antigel. Les deux machines font leurs preuves dans la pratique : le précriblage ainsi que le crible intégré en aval améliorent la qualité et réduisent l'usure. La consommation de carburant est faible avec dans le même temps une capacité de traitement journalière accrue. Et grâce au concept de commande SPECTIVE, la machine innovante est simple à piloter.</w:t>
      </w:r>
    </w:p>
    <w:p w14:paraId="1A96060F" w14:textId="77777777" w:rsidR="00AF2A24" w:rsidRPr="00793E43" w:rsidRDefault="00AF2A24" w:rsidP="00AF2A24">
      <w:pPr>
        <w:pStyle w:val="Absatzberschrift"/>
      </w:pPr>
      <w:r>
        <w:t xml:space="preserve">Criblage efficace : moins d'usure, meilleure qualité </w:t>
      </w:r>
    </w:p>
    <w:p w14:paraId="0873292C" w14:textId="77777777" w:rsidR="00AF2A24" w:rsidRDefault="00AF2A24" w:rsidP="00AF2A24">
      <w:pPr>
        <w:pStyle w:val="Standardabsatz"/>
      </w:pPr>
      <w:r>
        <w:t xml:space="preserve">Un atout du broyeur à percussion, son précrible et son crible intégré. L'installation est équipée d'un précrible vibrant indépendant à deux étages. Celui-ci permet un précriblage efficace qui influence grandement la qualité du produit final. Ainsi, les fines sont par exemple évacuées de l'installation via le convoyeur de déchargement latéral et les produits intermédiaires sont passent par le by-pass du broyeur. Ceci réduit sensiblement l'usure dans la chambre de broyage. </w:t>
      </w:r>
    </w:p>
    <w:p w14:paraId="44FF278B" w14:textId="6F4BB031" w:rsidR="00AF2A24" w:rsidRPr="00827719" w:rsidRDefault="00AF2A24" w:rsidP="00AF2A24">
      <w:pPr>
        <w:pStyle w:val="Standardabsatz"/>
      </w:pPr>
      <w:r>
        <w:t>À l'autre extrémité du MOBIREX MR</w:t>
      </w:r>
      <w:r w:rsidR="00927BDE">
        <w:t xml:space="preserve"> </w:t>
      </w:r>
      <w:r>
        <w:t xml:space="preserve">130i EVO2 se trouve un crible vibrant à un étage avec une grande surface de criblage. Il crible efficacement même les petits grains de moins de 20 mm. Le convoyeur de retour des grains grossiers permet de garantir un circuit des matériaux fermé. Un séparateur à air élimine en outre avec un flux d'air dirigé les impuretés légères telles que le bois ou le plastique, ce qui améliore la qualité des produits finaux. </w:t>
      </w:r>
    </w:p>
    <w:p w14:paraId="0B9CDFEF" w14:textId="77777777" w:rsidR="00AF2A24" w:rsidRPr="00F917AA" w:rsidRDefault="00AF2A24" w:rsidP="00AF2A24">
      <w:pPr>
        <w:pStyle w:val="Absatzberschrift"/>
      </w:pPr>
      <w:r>
        <w:t>Faible consommation de carburant</w:t>
      </w:r>
    </w:p>
    <w:p w14:paraId="1C477E89" w14:textId="77777777" w:rsidR="00AF2A24" w:rsidRDefault="00AF2A24" w:rsidP="00AF2A24">
      <w:pPr>
        <w:pStyle w:val="Standardabsatz"/>
      </w:pPr>
      <w:r>
        <w:t xml:space="preserve">Un autre avantage est la faible consommation de carburant. "Les économies sont déjà perceptibles au bout de trois mois", déclare Simone Schnittger, directrice de D+S Recycling GmbH. Durant cette période, la consommation était en moyenne de 22 l/h. Cette excellente valeur est due à l'entraînement diesel-électrique direct très performant. Il apporte la puissance maximale directement au broyeur. Tous les entraînements secondaires sont entraînés électriquement, par exemple le précrible à deux étages, l'alimentateur vibrant, les bandes et le crible intégré. </w:t>
      </w:r>
    </w:p>
    <w:p w14:paraId="7DCE15C6" w14:textId="4599DB1D" w:rsidR="00AF2A24" w:rsidRPr="00F917AA" w:rsidRDefault="00AF2A24" w:rsidP="00AF2A24">
      <w:pPr>
        <w:pStyle w:val="Absatzberschrift"/>
      </w:pPr>
      <w:r>
        <w:t>Convoyeur de terrils pour une capacité de traitement journalière plus élevée</w:t>
      </w:r>
    </w:p>
    <w:p w14:paraId="66263C1F" w14:textId="77777777" w:rsidR="00AF2A24" w:rsidRDefault="00AF2A24" w:rsidP="00AF2A24">
      <w:pPr>
        <w:pStyle w:val="Standardabsatz"/>
      </w:pPr>
      <w:r>
        <w:t xml:space="preserve">Alors que la consommation de carburant a baissé, la capacité de traitement journalière sur le chantier a augmenté. À ceci contribue le convoyeur de terrils mobile sur lequel le broyeur à percussion déverse les substances minérales depuis une hauteur de 3,60 </w:t>
      </w:r>
      <w:r>
        <w:lastRenderedPageBreak/>
        <w:t>m. Le convoyeur de décharge de 24 m de long MOBIBELT MBT 24 transporte le matériau broyé à une hauteur d'env. 10,50 m avec une inclinaison maximale de 23°. Il en résulte un volume maximal de décharge de  1 300 m³ .</w:t>
      </w:r>
    </w:p>
    <w:p w14:paraId="63DD6061" w14:textId="77777777" w:rsidR="00AF2A24" w:rsidRPr="00F917AA" w:rsidRDefault="00AF2A24" w:rsidP="00AF2A24">
      <w:pPr>
        <w:pStyle w:val="Absatzberschrift"/>
      </w:pPr>
      <w:r>
        <w:t>Simple à utiliser grâce à SPECTIVE</w:t>
      </w:r>
    </w:p>
    <w:p w14:paraId="3EC75164" w14:textId="77777777" w:rsidR="00AF2A24" w:rsidRDefault="00AF2A24" w:rsidP="00AF2A24">
      <w:pPr>
        <w:pStyle w:val="Standardabsatz"/>
      </w:pPr>
      <w:r>
        <w:t>Les utilisateurs considèrent que le pilotage de l'installation par le biais du concept de commande SPECTIVE est très simple. Des détails tels que le grand volet de service et la bonne accessibilité des composants facilitent le travail.</w:t>
      </w:r>
    </w:p>
    <w:p w14:paraId="64ABBB85" w14:textId="024AAF51" w:rsidR="007C2FEE" w:rsidRPr="00927BDE" w:rsidRDefault="007C2FEE" w:rsidP="00BC487A">
      <w:pPr>
        <w:rPr>
          <w:b/>
          <w:bCs/>
          <w:sz w:val="22"/>
          <w:szCs w:val="22"/>
          <w:lang w:val="en-US"/>
        </w:rPr>
      </w:pPr>
      <w:r w:rsidRPr="00927BDE">
        <w:rPr>
          <w:b/>
          <w:sz w:val="22"/>
          <w:lang w:val="en-US"/>
        </w:rPr>
        <w:t>Photos :</w:t>
      </w:r>
    </w:p>
    <w:p w14:paraId="06345839" w14:textId="77777777" w:rsidR="00BC487A" w:rsidRPr="00927BDE" w:rsidRDefault="00BC487A" w:rsidP="00BC487A">
      <w:pPr>
        <w:rPr>
          <w:rFonts w:eastAsiaTheme="minorHAnsi" w:cstheme="minorBidi"/>
          <w:b/>
          <w:sz w:val="22"/>
          <w:szCs w:val="24"/>
          <w:lang w:val="en-US"/>
        </w:rPr>
      </w:pPr>
    </w:p>
    <w:p w14:paraId="015EC9AD" w14:textId="3B9E644B" w:rsidR="00F724D5" w:rsidRPr="00927BDE" w:rsidRDefault="00371A0B" w:rsidP="00F724D5">
      <w:pPr>
        <w:pStyle w:val="BUbold"/>
        <w:rPr>
          <w:lang w:val="en-US"/>
        </w:rPr>
      </w:pPr>
      <w:r>
        <w:rPr>
          <w:noProof/>
        </w:rPr>
        <w:drawing>
          <wp:inline distT="0" distB="0" distL="0" distR="0" wp14:anchorId="467A683D" wp14:editId="60FDC194">
            <wp:extent cx="2524125" cy="1682115"/>
            <wp:effectExtent l="0" t="0" r="9525" b="0"/>
            <wp:docPr id="14" name="Bild10"/>
            <wp:cNvGraphicFramePr/>
            <a:graphic xmlns:a="http://schemas.openxmlformats.org/drawingml/2006/main">
              <a:graphicData uri="http://schemas.openxmlformats.org/drawingml/2006/picture">
                <pic:pic xmlns:pic="http://schemas.openxmlformats.org/drawingml/2006/picture">
                  <pic:nvPicPr>
                    <pic:cNvPr id="14" name="Bild10"/>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24125" cy="1682115"/>
                    </a:xfrm>
                    <a:prstGeom prst="rect">
                      <a:avLst/>
                    </a:prstGeom>
                  </pic:spPr>
                </pic:pic>
              </a:graphicData>
            </a:graphic>
          </wp:inline>
        </w:drawing>
      </w:r>
      <w:bookmarkStart w:id="0" w:name="_GoBack"/>
      <w:bookmarkEnd w:id="0"/>
      <w:r w:rsidR="00F724D5" w:rsidRPr="00927BDE">
        <w:rPr>
          <w:lang w:val="en-US"/>
        </w:rPr>
        <w:br/>
        <w:t>KL_MR 130i EVO2_Recycling_DS</w:t>
      </w:r>
    </w:p>
    <w:p w14:paraId="0AA6E1D3" w14:textId="77777777" w:rsidR="00F724D5" w:rsidRDefault="00F724D5" w:rsidP="00FF5F5E">
      <w:pPr>
        <w:pStyle w:val="Fotos"/>
        <w:spacing w:after="0"/>
        <w:rPr>
          <w:b w:val="0"/>
          <w:sz w:val="20"/>
        </w:rPr>
      </w:pPr>
      <w:r>
        <w:rPr>
          <w:b w:val="0"/>
          <w:sz w:val="20"/>
        </w:rPr>
        <w:t>Le broyeur à percussion mobile MOBIREX MR 130i EVO2 associé à un convoyeur de terrils Kleemann assure de bonnes performances et la meilleure qualité produit avec une faible consommation.</w:t>
      </w:r>
    </w:p>
    <w:p w14:paraId="10AF8B22" w14:textId="77777777" w:rsidR="000D357E" w:rsidRPr="00F724D5" w:rsidRDefault="000D357E" w:rsidP="00FF5F5E">
      <w:pPr>
        <w:pStyle w:val="BUnormal"/>
      </w:pPr>
    </w:p>
    <w:p w14:paraId="6D829B46" w14:textId="77777777" w:rsidR="00F724D5" w:rsidRPr="00927BDE" w:rsidRDefault="00F724D5" w:rsidP="00F724D5">
      <w:pPr>
        <w:pStyle w:val="BUbold"/>
        <w:rPr>
          <w:lang w:val="en-US"/>
        </w:rPr>
      </w:pPr>
      <w:r>
        <w:rPr>
          <w:noProof/>
        </w:rPr>
        <w:drawing>
          <wp:inline distT="0" distB="0" distL="0" distR="0" wp14:anchorId="5A5A4D7C" wp14:editId="555B65C9">
            <wp:extent cx="2556510" cy="1707515"/>
            <wp:effectExtent l="0" t="0" r="0" b="0"/>
            <wp:docPr id="15" name="Bil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9"/>
                    <pic:cNvPicPr>
                      <a:picLocks noChangeAspect="1" noChangeArrowheads="1"/>
                    </pic:cNvPicPr>
                  </pic:nvPicPr>
                  <pic:blipFill>
                    <a:blip r:embed="rId9"/>
                    <a:stretch>
                      <a:fillRect/>
                    </a:stretch>
                  </pic:blipFill>
                  <pic:spPr bwMode="auto">
                    <a:xfrm>
                      <a:off x="0" y="0"/>
                      <a:ext cx="2556510" cy="1707515"/>
                    </a:xfrm>
                    <a:prstGeom prst="rect">
                      <a:avLst/>
                    </a:prstGeom>
                  </pic:spPr>
                </pic:pic>
              </a:graphicData>
            </a:graphic>
          </wp:inline>
        </w:drawing>
      </w:r>
      <w:r w:rsidRPr="00927BDE">
        <w:rPr>
          <w:lang w:val="en-US"/>
        </w:rPr>
        <w:br/>
        <w:t>KL_MR 130i EVO2_Recycling_DS_1</w:t>
      </w:r>
    </w:p>
    <w:p w14:paraId="43BC7053" w14:textId="0BA85F78" w:rsidR="00980313" w:rsidRPr="00F724D5" w:rsidRDefault="00F724D5" w:rsidP="00F724D5">
      <w:pPr>
        <w:widowControl w:val="0"/>
        <w:rPr>
          <w:sz w:val="20"/>
          <w:szCs w:val="20"/>
        </w:rPr>
      </w:pPr>
      <w:r>
        <w:rPr>
          <w:sz w:val="20"/>
        </w:rPr>
        <w:t xml:space="preserve">Dennis et Simone </w:t>
      </w:r>
      <w:proofErr w:type="spellStart"/>
      <w:r>
        <w:rPr>
          <w:sz w:val="20"/>
        </w:rPr>
        <w:t>Schnittger</w:t>
      </w:r>
      <w:proofErr w:type="spellEnd"/>
      <w:r>
        <w:rPr>
          <w:sz w:val="20"/>
        </w:rPr>
        <w:t xml:space="preserve"> sont très satisfaits de leur nouvelle installation MOBIREX MR 130i EVO2. Avec leur trois installations Kleemann, ils peuvent satisfaire à la demande croissante en sable, gravillons, gravier et matériau antigel.</w:t>
      </w:r>
      <w:r>
        <w:t xml:space="preserve"> </w:t>
      </w:r>
      <w:r>
        <w:br/>
      </w:r>
    </w:p>
    <w:p w14:paraId="67E83AFA" w14:textId="583A1D15" w:rsidR="00980313" w:rsidRDefault="00714D6B" w:rsidP="00A96B2E">
      <w:pPr>
        <w:pStyle w:val="Note"/>
        <w:rPr>
          <w:lang w:eastAsia="de-DE"/>
        </w:rPr>
      </w:pPr>
      <w:r>
        <w:t>Remarque : ces photos ne sont que des aperçus. Pour une intégration dans des publications, veuillez utiliser les photos en résolution 300 dpi qui sont à votre disposition en téléchargement.</w:t>
      </w:r>
    </w:p>
    <w:p w14:paraId="487A9595" w14:textId="21C93EA3" w:rsidR="00F724D5" w:rsidRDefault="00F724D5" w:rsidP="00F724D5">
      <w:pPr>
        <w:pStyle w:val="Standardabsatz"/>
        <w:rPr>
          <w:lang w:eastAsia="de-DE"/>
        </w:rPr>
      </w:pPr>
    </w:p>
    <w:p w14:paraId="4074ADF5" w14:textId="704CA3CC" w:rsidR="00F724D5" w:rsidRDefault="00F724D5" w:rsidP="00F724D5">
      <w:pPr>
        <w:pStyle w:val="Standardabsatz"/>
        <w:rPr>
          <w:lang w:eastAsia="de-DE"/>
        </w:rPr>
      </w:pPr>
    </w:p>
    <w:p w14:paraId="4734B18F" w14:textId="77777777" w:rsidR="00A31472" w:rsidRDefault="00A31472" w:rsidP="00F724D5">
      <w:pPr>
        <w:pStyle w:val="Standardabsatz"/>
        <w:rPr>
          <w:lang w:eastAsia="de-DE"/>
        </w:rPr>
      </w:pPr>
    </w:p>
    <w:p w14:paraId="783336FE" w14:textId="77777777" w:rsidR="00F724D5" w:rsidRPr="00F724D5" w:rsidRDefault="00F724D5" w:rsidP="00F724D5">
      <w:pPr>
        <w:pStyle w:val="Standardabsatz"/>
        <w:rPr>
          <w:lang w:eastAsia="de-DE"/>
        </w:rPr>
      </w:pPr>
    </w:p>
    <w:p w14:paraId="717825D0" w14:textId="4B1B0DAB" w:rsidR="00B409DF" w:rsidRDefault="00B409DF" w:rsidP="00B409DF">
      <w:pPr>
        <w:pStyle w:val="Absatzberschrift"/>
        <w:rPr>
          <w:iCs/>
        </w:rPr>
      </w:pPr>
      <w:r>
        <w:t>Pour plus d'informations, contacter :</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rPr>
        <w:t>WIRTGEN GROUP</w:t>
      </w:r>
    </w:p>
    <w:p w14:paraId="392C6846" w14:textId="77777777" w:rsidR="00B409DF" w:rsidRPr="00927BDE" w:rsidRDefault="00B409DF" w:rsidP="00B409DF">
      <w:pPr>
        <w:pStyle w:val="Fuzeile1"/>
        <w:rPr>
          <w:lang w:val="de-DE"/>
        </w:rPr>
      </w:pPr>
      <w:r w:rsidRPr="00927BDE">
        <w:rPr>
          <w:lang w:val="de-DE"/>
        </w:rPr>
        <w:t>Public Relations</w:t>
      </w:r>
    </w:p>
    <w:p w14:paraId="77A90FFB" w14:textId="77777777" w:rsidR="00B409DF" w:rsidRPr="00927BDE" w:rsidRDefault="00B409DF" w:rsidP="00B409DF">
      <w:pPr>
        <w:pStyle w:val="Fuzeile1"/>
        <w:rPr>
          <w:lang w:val="de-DE"/>
        </w:rPr>
      </w:pPr>
      <w:r w:rsidRPr="00927BDE">
        <w:rPr>
          <w:lang w:val="de-DE"/>
        </w:rPr>
        <w:t>Reinhard-Wirtgen-Straße 2</w:t>
      </w:r>
    </w:p>
    <w:p w14:paraId="2BD7061F" w14:textId="77777777" w:rsidR="00B409DF" w:rsidRDefault="00B409DF" w:rsidP="00B409DF">
      <w:pPr>
        <w:pStyle w:val="Fuzeile1"/>
      </w:pPr>
      <w:r>
        <w:t xml:space="preserve">53578 </w:t>
      </w:r>
      <w:proofErr w:type="spellStart"/>
      <w:r>
        <w:t>Windhagen</w:t>
      </w:r>
      <w:proofErr w:type="spellEnd"/>
    </w:p>
    <w:p w14:paraId="7312A980" w14:textId="77777777" w:rsidR="00B409DF" w:rsidRDefault="00B409DF" w:rsidP="00B409DF">
      <w:pPr>
        <w:pStyle w:val="Fuzeile1"/>
      </w:pPr>
      <w:r>
        <w:t>Allemagne</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Téléphone : +49 (0) 2645 131 – 1966 </w:t>
      </w:r>
    </w:p>
    <w:p w14:paraId="72EBA31D" w14:textId="77777777" w:rsidR="00B409DF" w:rsidRDefault="00B409DF" w:rsidP="00B409DF">
      <w:pPr>
        <w:pStyle w:val="Fuzeile1"/>
      </w:pPr>
      <w:r>
        <w:t>Fax : +49 (0) 2645 131 – 499</w:t>
      </w:r>
    </w:p>
    <w:p w14:paraId="54DD8925" w14:textId="4CADBFA8" w:rsidR="00B409DF" w:rsidRDefault="00B409DF" w:rsidP="00B409DF">
      <w:pPr>
        <w:pStyle w:val="Fuzeile1"/>
      </w:pPr>
      <w:r>
        <w:t>E-mail :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1ABA0C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27BDE">
            <w:rPr>
              <w:rStyle w:val="Hervorhebung"/>
              <w:lang w:val="de-DE"/>
            </w:rPr>
            <w:t>WIRTGEN GmbH</w:t>
          </w:r>
          <w:r w:rsidRPr="00927BDE">
            <w:rPr>
              <w:lang w:val="de-DE"/>
            </w:rPr>
            <w:t xml:space="preserve"> · Reinhard-Wirtgen-Str. </w:t>
          </w:r>
          <w:r>
            <w:t>2 · D-53578 Windhagen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64574D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067CD236" w:rsidR="00533132" w:rsidRPr="00533132" w:rsidRDefault="00233CD9" w:rsidP="00533132">
    <w:pPr>
      <w:pStyle w:val="Kopfzeile"/>
    </w:pPr>
    <w:r>
      <w:rPr>
        <w:noProof/>
      </w:rPr>
      <mc:AlternateContent>
        <mc:Choice Requires="wps">
          <w:drawing>
            <wp:anchor distT="0" distB="0" distL="114300" distR="114300" simplePos="0" relativeHeight="251662336" behindDoc="0" locked="0" layoutInCell="1" allowOverlap="1" wp14:anchorId="05CC8C65" wp14:editId="55452DD8">
              <wp:simplePos x="0" y="0"/>
              <wp:positionH relativeFrom="margin">
                <wp:posOffset>2637790</wp:posOffset>
              </wp:positionH>
              <wp:positionV relativeFrom="paragraph">
                <wp:posOffset>368935</wp:posOffset>
              </wp:positionV>
              <wp:extent cx="3441700" cy="619125"/>
              <wp:effectExtent l="0" t="0" r="6350" b="9525"/>
              <wp:wrapNone/>
              <wp:docPr id="10" name="Textfeld 10"/>
              <wp:cNvGraphicFramePr/>
              <a:graphic xmlns:a="http://schemas.openxmlformats.org/drawingml/2006/main">
                <a:graphicData uri="http://schemas.microsoft.com/office/word/2010/wordprocessingShape">
                  <wps:wsp>
                    <wps:cNvSpPr txBox="1"/>
                    <wps:spPr>
                      <a:xfrm>
                        <a:off x="0" y="0"/>
                        <a:ext cx="3441700" cy="619125"/>
                      </a:xfrm>
                      <a:prstGeom prst="rect">
                        <a:avLst/>
                      </a:prstGeom>
                      <a:solidFill>
                        <a:schemeClr val="bg1"/>
                      </a:solidFill>
                      <a:ln w="6350">
                        <a:noFill/>
                      </a:ln>
                    </wps:spPr>
                    <wps:txbx>
                      <w:txbxContent>
                        <w:p w14:paraId="3086A0E8" w14:textId="41435660"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RAPPORT D'APPLICATION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5CC8C65" id="_x0000_t202" coordsize="21600,21600" o:spt="202" path="m,l,21600r21600,l21600,xe">
              <v:stroke joinstyle="miter"/>
              <v:path gradientshapeok="t" o:connecttype="rect"/>
            </v:shapetype>
            <v:shape id="Textfeld 10" o:spid="_x0000_s1027" type="#_x0000_t202" style="position:absolute;margin-left:207.7pt;margin-top:29.05pt;width:271pt;height:48.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" fillcolor="white [3212]" stroked="f" strokeweight=".5pt">
              <v:textbox inset="0,0,0,0">
                <w:txbxContent>
                  <w:p w14:paraId="3086A0E8" w14:textId="41435660"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RAPPORT D'APPLICATION</w:t>
                    </w:r>
                  </w:p>
                </w:txbxContent>
              </v:textbox>
              <w10:wrap anchorx="margin"/>
            </v:shape>
          </w:pict>
        </mc:Fallback>
      </mc:AlternateContent>
    </w:r>
    <w:r w:rsidR="00AF2A24">
      <w:rPr>
        <w:noProof/>
      </w:rPr>
      <mc:AlternateContent>
        <mc:Choice Requires="wps">
          <w:drawing>
            <wp:anchor distT="0" distB="0" distL="0" distR="0" simplePos="0" relativeHeight="251665408" behindDoc="0" locked="0" layoutInCell="1" allowOverlap="1" wp14:anchorId="2D81EA92" wp14:editId="2A309D0B">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2D81EA92" id="Textfeld 11" o:spid="_x0000_s1028"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sidR="00AF2A24">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56148399" w:rsidR="00533132" w:rsidRDefault="00AF2A24">
    <w:pPr>
      <w:pStyle w:val="Kopfzeile"/>
    </w:pPr>
    <w:r>
      <w:rPr>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8F062B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33CD9"/>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71A0B"/>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27BDE"/>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791"/>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D1E6F"/>
    <w:rsid w:val="00FD3768"/>
    <w:rsid w:val="00FD51E9"/>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C0667877-CDC4-4DC8-9C03-563AD34BE26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618</Words>
  <Characters>3895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4504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9</cp:revision>
  <cp:lastPrinted>2021-10-20T14:00:00Z</cp:lastPrinted>
  <dcterms:created xsi:type="dcterms:W3CDTF">2022-03-30T10:32:00Z</dcterms:created>
  <dcterms:modified xsi:type="dcterms:W3CDTF">2022-05-18T13:38:00Z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